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Fund-raising event contributions 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Food donation voucher book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Vehicle and fuel vouchers 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Sponsorship contributions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Cash donations 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Coaching services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Transport and postage costs 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V3GkBiUI50VA+G0Hvgb5OXedlg==">CgMxLjA4AHIhMUlnWG92VWk3VzZQbWVBLUU2UTZHdzJTbXdmaVl3MEpf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